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3B" w:rsidRDefault="00052FB4" w:rsidP="0028053B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A753AA" w:rsidRPr="00A753AA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28053B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28053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28053B">
        <w:rPr>
          <w:rFonts w:ascii="IRBadr" w:hAnsi="IRBadr" w:cs="IRBadr"/>
          <w:sz w:val="28"/>
          <w:szCs w:val="28"/>
          <w:lang w:bidi="fa-IR"/>
        </w:rPr>
        <w:instrText>TOC</w:instrText>
      </w:r>
      <w:r w:rsidR="0028053B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28053B">
        <w:rPr>
          <w:rFonts w:ascii="IRBadr" w:hAnsi="IRBadr" w:cs="IRBadr"/>
          <w:sz w:val="28"/>
          <w:szCs w:val="28"/>
          <w:lang w:bidi="fa-IR"/>
        </w:rPr>
        <w:instrText>o "1-5" \h \z \u</w:instrText>
      </w:r>
      <w:r w:rsidR="0028053B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28053B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28053B" w:rsidRDefault="0028053B" w:rsidP="0028053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207" w:history="1">
        <w:r w:rsidRPr="007521B5">
          <w:rPr>
            <w:rStyle w:val="Hyperlink"/>
            <w:rFonts w:ascii="IRBadr" w:hAnsi="IRBadr" w:cs="IRBadr" w:hint="eastAsia"/>
            <w:noProof/>
            <w:rtl/>
          </w:rPr>
          <w:t>قطع</w:t>
        </w:r>
        <w:r w:rsidRPr="007521B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521B5">
          <w:rPr>
            <w:rStyle w:val="Hyperlink"/>
            <w:rFonts w:ascii="IRBadr" w:hAnsi="IRBadr" w:cs="IRBadr" w:hint="cs"/>
            <w:noProof/>
            <w:rtl/>
          </w:rPr>
          <w:t>ی</w:t>
        </w:r>
        <w:r w:rsidRPr="007521B5">
          <w:rPr>
            <w:rStyle w:val="Hyperlink"/>
            <w:rFonts w:ascii="IRBadr" w:hAnsi="IRBadr" w:cs="IRBadr" w:hint="eastAsia"/>
            <w:noProof/>
            <w:rtl/>
          </w:rPr>
          <w:t>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208" w:history="1">
        <w:r w:rsidRPr="007521B5">
          <w:rPr>
            <w:rStyle w:val="Hyperlink"/>
            <w:rFonts w:ascii="IRBadr" w:hAnsi="IRBadr" w:cs="IRBadr" w:hint="eastAsia"/>
            <w:noProof/>
            <w:rtl/>
          </w:rPr>
          <w:t>صور</w:t>
        </w:r>
        <w:r w:rsidRPr="007521B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521B5">
          <w:rPr>
            <w:rStyle w:val="Hyperlink"/>
            <w:rFonts w:ascii="IRBadr" w:hAnsi="IRBadr" w:cs="IRBadr" w:hint="eastAsia"/>
            <w:noProof/>
            <w:rtl/>
          </w:rPr>
          <w:t>وجود</w:t>
        </w:r>
        <w:r w:rsidRPr="007521B5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521B5">
          <w:rPr>
            <w:rStyle w:val="Hyperlink"/>
            <w:rFonts w:ascii="IRBadr" w:hAnsi="IRBadr" w:cs="IRBadr" w:hint="eastAsia"/>
            <w:noProof/>
            <w:rtl/>
          </w:rPr>
          <w:t>تعذر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209" w:history="1">
        <w:r w:rsidRPr="007521B5">
          <w:rPr>
            <w:rStyle w:val="Hyperlink"/>
            <w:rFonts w:hint="eastAsia"/>
            <w:noProof/>
            <w:rtl/>
          </w:rPr>
          <w:t>اقوال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در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rFonts w:hint="eastAsia"/>
            <w:noProof/>
            <w:rtl/>
          </w:rPr>
          <w:t>ن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باب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210" w:history="1">
        <w:r w:rsidRPr="007521B5">
          <w:rPr>
            <w:rStyle w:val="Hyperlink"/>
            <w:rFonts w:hint="eastAsia"/>
            <w:noProof/>
            <w:rtl/>
          </w:rPr>
          <w:t>اقتضا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اطلاقات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211" w:history="1">
        <w:r w:rsidRPr="007521B5">
          <w:rPr>
            <w:rStyle w:val="Hyperlink"/>
            <w:rFonts w:hint="eastAsia"/>
            <w:noProof/>
            <w:rtl/>
          </w:rPr>
          <w:t>مستندات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212" w:history="1">
        <w:r w:rsidRPr="007521B5">
          <w:rPr>
            <w:rStyle w:val="Hyperlink"/>
            <w:rFonts w:hint="eastAsia"/>
            <w:noProof/>
            <w:rtl/>
          </w:rPr>
          <w:t>روا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rFonts w:hint="eastAsia"/>
            <w:noProof/>
            <w:rtl/>
          </w:rPr>
          <w:t>ت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213" w:history="1">
        <w:r w:rsidRPr="007521B5">
          <w:rPr>
            <w:rStyle w:val="Hyperlink"/>
            <w:rFonts w:hint="eastAsia"/>
            <w:noProof/>
            <w:rtl/>
          </w:rPr>
          <w:t>روا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rFonts w:hint="eastAsia"/>
            <w:noProof/>
            <w:rtl/>
          </w:rPr>
          <w:t>ت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214" w:history="1">
        <w:r w:rsidRPr="007521B5">
          <w:rPr>
            <w:rStyle w:val="Hyperlink"/>
            <w:rFonts w:hint="eastAsia"/>
            <w:noProof/>
            <w:rtl/>
          </w:rPr>
          <w:t>ادله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قول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اسکاف</w:t>
        </w:r>
        <w:r w:rsidRPr="007521B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8053B" w:rsidRDefault="0028053B" w:rsidP="0028053B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215" w:history="1">
        <w:r w:rsidRPr="007521B5">
          <w:rPr>
            <w:rStyle w:val="Hyperlink"/>
            <w:rFonts w:hint="eastAsia"/>
            <w:noProof/>
            <w:rtl/>
          </w:rPr>
          <w:t>روا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rFonts w:hint="eastAsia"/>
            <w:noProof/>
            <w:rtl/>
          </w:rPr>
          <w:t>ت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اخلاق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از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حق</w:t>
        </w:r>
        <w:r w:rsidRPr="007521B5">
          <w:rPr>
            <w:rStyle w:val="Hyperlink"/>
            <w:rFonts w:hint="cs"/>
            <w:noProof/>
            <w:rtl/>
          </w:rPr>
          <w:t>ی</w:t>
        </w:r>
        <w:r w:rsidRPr="007521B5">
          <w:rPr>
            <w:rStyle w:val="Hyperlink"/>
            <w:rFonts w:hint="eastAsia"/>
            <w:noProof/>
            <w:rtl/>
          </w:rPr>
          <w:t>قت</w:t>
        </w:r>
        <w:r w:rsidRPr="007521B5">
          <w:rPr>
            <w:rStyle w:val="Hyperlink"/>
            <w:noProof/>
            <w:rtl/>
          </w:rPr>
          <w:t xml:space="preserve"> </w:t>
        </w:r>
        <w:r w:rsidRPr="007521B5">
          <w:rPr>
            <w:rStyle w:val="Hyperlink"/>
            <w:rFonts w:hint="eastAsia"/>
            <w:noProof/>
            <w:rtl/>
          </w:rPr>
          <w:t>عالِم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753AA" w:rsidRDefault="0028053B" w:rsidP="0028053B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753AA" w:rsidRDefault="00A753AA" w:rsidP="0028053B">
      <w:pPr>
        <w:bidi/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  <w:bookmarkStart w:id="0" w:name="_GoBack"/>
      <w:bookmarkEnd w:id="0"/>
    </w:p>
    <w:p w:rsidR="00A753AA" w:rsidRDefault="00052FB4" w:rsidP="00A753AA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8207"/>
      <w:r>
        <w:rPr>
          <w:rFonts w:ascii="IRBadr" w:hAnsi="IRBadr" w:cs="IRBadr"/>
          <w:rtl/>
        </w:rPr>
        <w:lastRenderedPageBreak/>
        <w:t>قطع</w:t>
      </w:r>
      <w:r w:rsidR="0028053B">
        <w:rPr>
          <w:rFonts w:ascii="IRBadr" w:hAnsi="IRBadr" w:cs="IRBadr" w:hint="cs"/>
          <w:rtl/>
        </w:rPr>
        <w:t xml:space="preserve"> </w:t>
      </w:r>
      <w:r>
        <w:rPr>
          <w:rFonts w:ascii="IRBadr" w:hAnsi="IRBadr" w:cs="IRBadr"/>
          <w:rtl/>
        </w:rPr>
        <w:t>ید</w:t>
      </w:r>
      <w:bookmarkEnd w:id="1"/>
    </w:p>
    <w:p w:rsidR="00A753AA" w:rsidRPr="00A753AA" w:rsidRDefault="00A753AA" w:rsidP="00A753AA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7822"/>
      <w:bookmarkStart w:id="3" w:name="_Toc432608208"/>
      <w:r w:rsidRPr="00A753AA">
        <w:rPr>
          <w:rFonts w:ascii="IRBadr" w:hAnsi="IRBadr" w:cs="IRBadr"/>
          <w:rtl/>
        </w:rPr>
        <w:t>صور وجود تعذر</w:t>
      </w:r>
      <w:bookmarkEnd w:id="2"/>
      <w:bookmarkEnd w:id="3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>ترتیب حکم سرقت در جلسات گذشته بیان شد،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در اینجا سؤالی وجود دارد که اگر دست چپ او فلج باشد،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آ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باز دست راست او باید قطع شود؟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یک قول برای اسکافی است که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: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دست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راست در اینجا قطع نخواهد شد،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با این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قطعید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عملاً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زمین‌گیر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خواهد شد.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در خاصه در این باب دو نظریه وجود دارد،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از اسکافی نظریات مختلفی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753AA" w:rsidRPr="00A753AA" w:rsidRDefault="00A753AA" w:rsidP="00A753AA">
      <w:pPr>
        <w:pStyle w:val="Heading2"/>
        <w:rPr>
          <w:rtl/>
        </w:rPr>
      </w:pPr>
      <w:bookmarkStart w:id="4" w:name="_Toc432607823"/>
      <w:bookmarkStart w:id="5" w:name="_Toc432608209"/>
      <w:r w:rsidRPr="00A753AA">
        <w:rPr>
          <w:rtl/>
        </w:rPr>
        <w:t>اقوال در این باب</w:t>
      </w:r>
      <w:bookmarkEnd w:id="4"/>
      <w:bookmarkEnd w:id="5"/>
    </w:p>
    <w:p w:rsid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اما در سه صورت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اختلاف‌نظری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وجود ندارد که دست راست قطع خواهد شد؛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دودست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سالم باشند،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دودست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فلج باشند یا اینکه دست راست او فلج باشد.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فرض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و اختلاف است.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میان عامه نیز در این حالت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وجود دارد و دو روایت در این باب در نزد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وجود دارد؛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اینکه دست راست او قطع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نم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753AA" w:rsidRPr="00A753AA" w:rsidRDefault="00A753AA" w:rsidP="00A753AA">
      <w:pPr>
        <w:pStyle w:val="Heading2"/>
        <w:rPr>
          <w:rtl/>
        </w:rPr>
      </w:pPr>
      <w:bookmarkStart w:id="6" w:name="_Toc432607824"/>
      <w:bookmarkStart w:id="7" w:name="_Toc432608210"/>
      <w:r>
        <w:rPr>
          <w:rFonts w:hint="cs"/>
          <w:rtl/>
        </w:rPr>
        <w:t>اقتضای اطلاقات</w:t>
      </w:r>
      <w:bookmarkEnd w:id="6"/>
      <w:bookmarkEnd w:id="7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>اطلاقش این دو صورت را می‌گیرد که؛ دست راست و چپ هر دو فلج باشد یا اینکه راست فلج و چپ سالم است، این دو صورت در آن اختلاف است، و یک قول این است که دست راست قطع نمی‌شود، بلکه پای چپ قطع می‌شود و روایت دوم این است که قطع می‌شود، مگر اینکه موجب مرگش بشود.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در بین عامه در این دو صورت دو قول وجود دارد، یک قول این است که قطع می‌شود، یک قول هم این است که پای چپ را قطع می‌کنند.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>در نزد عامه در فرضی که هردو فلج باشند نیز دست راست قطع نخواهد شد.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و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دست چپ فلج باشد،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بلکه نزدیک به اجماع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که دست راست قطع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اسکافی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نم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،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حکم او حبس ابد است.</w:t>
      </w:r>
    </w:p>
    <w:p w:rsidR="00A753AA" w:rsidRPr="00A753AA" w:rsidRDefault="00A753AA" w:rsidP="00A753AA">
      <w:pPr>
        <w:pStyle w:val="Heading3"/>
        <w:rPr>
          <w:rtl/>
        </w:rPr>
      </w:pPr>
      <w:bookmarkStart w:id="8" w:name="_Toc432607825"/>
      <w:bookmarkStart w:id="9" w:name="_Toc432608211"/>
      <w:r w:rsidRPr="00A753AA">
        <w:rPr>
          <w:rtl/>
        </w:rPr>
        <w:t>مستندات بحث</w:t>
      </w:r>
      <w:bookmarkEnd w:id="8"/>
      <w:bookmarkEnd w:id="9"/>
    </w:p>
    <w:p w:rsidR="00A753AA" w:rsidRPr="00A753AA" w:rsidRDefault="00A753AA" w:rsidP="00A753AA">
      <w:pPr>
        <w:pStyle w:val="Heading3"/>
        <w:rPr>
          <w:rtl/>
        </w:rPr>
      </w:pPr>
      <w:bookmarkStart w:id="10" w:name="_Toc432607826"/>
      <w:bookmarkStart w:id="11" w:name="_Toc432608212"/>
      <w:r w:rsidRPr="00A753AA">
        <w:rPr>
          <w:rtl/>
        </w:rPr>
        <w:t>روایت اول</w:t>
      </w:r>
      <w:bookmarkEnd w:id="10"/>
      <w:bookmarkEnd w:id="11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اطلاقات این چهار صورت را می‌گیرد و ثانیاً از روایات در این زمینه دلیل خاص وجود دارد که در ابواب حد سرقت، باب یازده، حدیث اول، صفحه پانصد و یک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است، حدیث اول که سندش معتبر است این بوده که؛</w:t>
      </w:r>
    </w:p>
    <w:p w:rsidR="00A753AA" w:rsidRPr="00A753AA" w:rsidRDefault="00A753AA" w:rsidP="00A753AA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«مُحَمَّدُ بْنُ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عَنِ ابْنِ مَحْبُوبٍ عَنْ عَبْدِ اللَّهِ بْنِ سِنَانٍ عَنْ أَبِ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أَشَلِّ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مْنَ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أَوْ أَشَلِّ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الشِّمَالِ سَرَقَ قَالَ تُ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قطعید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هُ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مْنَ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علی‌کل‌حال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A753AA">
        <w:rPr>
          <w:rStyle w:val="FootnoteReference"/>
          <w:rFonts w:ascii="IRBadr" w:eastAsia="2  Lotus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مردی که دست راست او یا دست چپ او فلج است، و دزدی کرد حضرت فرمود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علی‌کل‌حال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دست راستش قطع می‌شود.</w:t>
      </w:r>
    </w:p>
    <w:p w:rsidR="00A753AA" w:rsidRPr="00A753AA" w:rsidRDefault="00A753AA" w:rsidP="00A753AA">
      <w:pPr>
        <w:pStyle w:val="Heading3"/>
        <w:rPr>
          <w:rtl/>
        </w:rPr>
      </w:pPr>
      <w:bookmarkStart w:id="12" w:name="_Toc432607827"/>
      <w:bookmarkStart w:id="13" w:name="_Toc432608213"/>
      <w:r w:rsidRPr="00A753AA">
        <w:rPr>
          <w:rtl/>
        </w:rPr>
        <w:t>روایت دوم</w:t>
      </w:r>
      <w:bookmarkEnd w:id="12"/>
      <w:bookmarkEnd w:id="13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>سند این روایت سند کاملی است و بالاتر از صحیحه بلکه موثقه است.</w:t>
      </w:r>
    </w:p>
    <w:p w:rsidR="00A753AA" w:rsidRPr="00A753AA" w:rsidRDefault="00A753AA" w:rsidP="00A753AA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عَلِ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الْحُسَ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بِإِسْنَادِهِ عَنِ الْحَسَنِ بْنِ مَحْبُوبٍ عَنْ عَلَاءٍ عَنْ مُحَمَّدِ بْنِ مُسْلِمٍ عَنْ زُرَارَةَ عَنْ أَبِ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وَ عَنِ ابْنِ مَحْبُوبٍ عَنْ عَبْدِ اللَّهِ بْنِ سِنَانٍ عَنْ أَبِ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أَنَّ الْأَشَلَّ إِذَا سَرَقَ قُطِعَتْ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نُهُ-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علی‌کل‌حال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شَلَّاءَ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انَتْ أَوْ صَحِ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حَةً- فَإِنْ عَادَ فَسَرَقَ قُطِعَتْ رِجْلُهُ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سْرَ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- فَإِنْ عَادَ خُلِّدَ فِ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السِّجْنِ- وَ أُجْرِ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مِنْ بَ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تِ الْمَالِ وَ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فَّ عَنِ النَّاسِ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A753AA">
        <w:rPr>
          <w:rStyle w:val="FootnoteReference"/>
          <w:rFonts w:ascii="IRBadr" w:eastAsia="2  Lotus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کسی که دست او فلج است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وقتی‌که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بدزد دستش قطع می‌شود. دست او قطع می‌شود، چه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قطع می‌شود فلج باشد یا سالم. این موارد ادله قول مشهور است که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به‌صراحت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م</w:t>
      </w:r>
      <w:r w:rsidR="00052FB4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در صورت رابعه باید قطع شود.</w:t>
      </w:r>
    </w:p>
    <w:p w:rsidR="00A753AA" w:rsidRPr="00A753AA" w:rsidRDefault="00A753AA" w:rsidP="00A753AA">
      <w:pPr>
        <w:pStyle w:val="Heading3"/>
        <w:rPr>
          <w:rtl/>
        </w:rPr>
      </w:pPr>
      <w:bookmarkStart w:id="14" w:name="_Toc432607828"/>
      <w:bookmarkStart w:id="15" w:name="_Toc432608214"/>
      <w:r w:rsidRPr="00A753AA">
        <w:rPr>
          <w:rtl/>
        </w:rPr>
        <w:t>ادله قول اسکافی</w:t>
      </w:r>
      <w:bookmarkEnd w:id="14"/>
      <w:bookmarkEnd w:id="15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برای قول اسکافی دو دلیل وجود دارد، یکی از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روایتی است که در آن فرموده شده است؛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کسی که دست راستش قطع شد، دست چپ را قطع نمی‌کنند، برای اینکه شرم دارم این فرد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بعدازاینکه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دست راستش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قطع‌شده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دست چپش را قطع کنیم که از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کار آوری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وزندگی‌اش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ساقط شود و هیچ کارآمدی نداشته باشد، برای رفع نیازهای شخصی دست چپش هیچ فایده ندارد.</w:t>
      </w:r>
    </w:p>
    <w:p w:rsidR="00A753AA" w:rsidRPr="00A753AA" w:rsidRDefault="00A753AA" w:rsidP="00A753AA">
      <w:pPr>
        <w:pStyle w:val="Heading3"/>
        <w:rPr>
          <w:rtl/>
        </w:rPr>
      </w:pPr>
      <w:bookmarkStart w:id="16" w:name="_Toc432607829"/>
      <w:bookmarkStart w:id="17" w:name="_Toc432608215"/>
      <w:r w:rsidRPr="00A753AA">
        <w:rPr>
          <w:rtl/>
        </w:rPr>
        <w:t>روایتی اخلاقی از حقیقت عالِم</w:t>
      </w:r>
      <w:bookmarkEnd w:id="16"/>
      <w:bookmarkEnd w:id="17"/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این روایت در عیون الاخبار الرضا صفحه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نودویک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است و دارای سندی معتبر است، یونس بن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عبدالرحمان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می‌گوید:</w:t>
      </w:r>
    </w:p>
    <w:p w:rsidR="00A753AA" w:rsidRPr="00A753AA" w:rsidRDefault="00A753AA" w:rsidP="00A753AA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مُحَمَّدٍ، قَالَ حَدَّثَنِ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مُحَمَّدُ بْنُ أَحْمَدَ، عَنْ أَحْمَدَ بْنِ الْحُسَ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نِ، عَنْ مُحَمَّدِ بْنِ جُمْهُورٍ، عَنْ أَحْمَدَ بْنِ الْفَضْلِ، عَنْ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بْنِ عَبْدِ الرَّحْمَنِ، قَالَ مَاتَ أَبُو الْحَسَنِ (ع) وَ 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مِنْ قُوَّامِهِ أَحَدٌ إِلَّا وَ عِنْدَهُ الْمَالُ الْ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رُ، وَ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ذَلِ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سَبَبَ وُقُوفِهِمْ وَ جُحُودِهِمْ مَوْتَهُ، وَ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عِنْدَ زِ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الْقَنْدِ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سَبْعُونَ أَلْفَ دِ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نَارٍ، وَ عِنْدَ عَلِ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أَبِ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حَمْزَةَ ثَلَاثُونَ أَلْفَ دِ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نَارٍ، قَالَ، فَلَمَّا رَأَ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تُ ذَلِ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تَبَ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عَلَ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الْحَقُّ، وَ عَرَفْتُ مِنْ أَمْرِ أَبِ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الرِّضَا (ع) مَا عَلِمْتُ: تَ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لَّمْتُ وَ دَعَوْتُ النَّاسَ إِلَ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هِ، قَالَ، فَبَعَثَا إِلَ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قَالا: مَا تَدْعُو إِلَ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هَذَا إِنْ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 تُرِ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دُ الْمَالَ فَنَحْنُ نُغْنِ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، وَ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ضمناً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عَشَرَةَ آلَافِ دِ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نَارٍ، وَ قَالا 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فَّ! قَالَ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ونُسُ: فَقُلْتُ لَهُمَا أَ مَا رُوِّ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نَا عَنِ الصَّادِقِ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(ع) أَنَّهُمْ قَالُوا إِذَا ظَهَرَتِ الْبِدَعُ فَعَلَ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الْعَالِمِ أَنْ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ظْهِرَ عِلْمَهُ فَإِنْ لَمْ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فْعَلْ سُلِبَ نُورَ الْإِ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مَانِ! وَ مَا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نْتُ لِأَدَعَ الْجِهَادَ وَ أَمْرَ اللَّهِ 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علی‌کل‌حال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، فَنَاصَبَانِ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أَظْهَرَا لِ</w:t>
      </w:r>
      <w:r w:rsidR="00052FB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753A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الْعَدَاوَةَ.» </w:t>
      </w:r>
      <w:r w:rsidRPr="00A753AA">
        <w:rPr>
          <w:rStyle w:val="FootnoteReference"/>
          <w:rFonts w:ascii="IRBadr" w:eastAsia="2  Lotus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می‌گوید: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وقتی‌که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من حقیقت را جستجو کردم و می‌دانستم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ازآنچه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حضرت امام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کاظم (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ع) فرموده بودند، مردم را دعوت به امام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رضا (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ع) کردم، سپس می‌گوید: این دو نفر من را خواستند و وعده دادند و تطمیع کردند؛ تو اگر دست از مقابله با ما و طرفداری امام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رضا (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>ع) برداری ما ضامن ده هزار دینار به تو هستیم.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یونس بن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عبدالرحمان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که از چهره‌های ممتاز بود،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می‌گوید: می‌گوید؛ این روایت از ائمه متعدد </w:t>
      </w:r>
      <w:r w:rsidR="00052FB4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A753A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A753AA" w:rsidRPr="00A753AA" w:rsidRDefault="00A753AA" w:rsidP="00A753AA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12468" w:rsidRPr="00A753AA" w:rsidRDefault="00C12468" w:rsidP="00A753AA">
      <w:pPr>
        <w:bidi/>
        <w:spacing w:line="360" w:lineRule="auto"/>
        <w:rPr>
          <w:rFonts w:ascii="IRBadr" w:hAnsi="IRBadr" w:cs="IRBadr"/>
          <w:sz w:val="28"/>
          <w:szCs w:val="28"/>
          <w:rtl/>
          <w:lang w:bidi="fa-IR"/>
        </w:rPr>
      </w:pPr>
    </w:p>
    <w:sectPr w:rsidR="00C12468" w:rsidRPr="00A753AA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2F" w:rsidRDefault="00AC6E2F" w:rsidP="000D5800">
      <w:pPr>
        <w:spacing w:after="0" w:line="240" w:lineRule="auto"/>
      </w:pPr>
      <w:r>
        <w:separator/>
      </w:r>
    </w:p>
  </w:endnote>
  <w:endnote w:type="continuationSeparator" w:id="0">
    <w:p w:rsidR="00AC6E2F" w:rsidRDefault="00AC6E2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FB4" w:rsidRDefault="00052F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FB4" w:rsidRDefault="00052F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FB4" w:rsidRDefault="00052F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2F" w:rsidRDefault="00AC6E2F" w:rsidP="00FE1F30">
      <w:pPr>
        <w:spacing w:after="0" w:line="240" w:lineRule="auto"/>
        <w:jc w:val="right"/>
      </w:pPr>
      <w:r>
        <w:separator/>
      </w:r>
    </w:p>
  </w:footnote>
  <w:footnote w:type="continuationSeparator" w:id="0">
    <w:p w:rsidR="00AC6E2F" w:rsidRDefault="00AC6E2F" w:rsidP="000D5800">
      <w:pPr>
        <w:spacing w:after="0" w:line="240" w:lineRule="auto"/>
      </w:pPr>
      <w:r>
        <w:continuationSeparator/>
      </w:r>
    </w:p>
  </w:footnote>
  <w:footnote w:id="1">
    <w:p w:rsidR="00A753AA" w:rsidRDefault="00A753AA" w:rsidP="00A753AA">
      <w:pPr>
        <w:pStyle w:val="FootnoteText"/>
        <w:rPr>
          <w:rFonts w:cstheme="minorBidi"/>
          <w:rtl/>
        </w:rPr>
      </w:pPr>
      <w:r>
        <w:rPr>
          <w:rtl/>
        </w:rPr>
        <w:t xml:space="preserve"> </w:t>
      </w:r>
      <w:r>
        <w:rPr>
          <w:rStyle w:val="FootnoteReference"/>
          <w:rFonts w:eastAsia="2  Lotus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052FB4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052FB4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052FB4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052FB4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225</w:t>
      </w:r>
    </w:p>
  </w:footnote>
  <w:footnote w:id="2">
    <w:p w:rsidR="00A753AA" w:rsidRDefault="00A753AA" w:rsidP="00A753AA">
      <w:pPr>
        <w:pStyle w:val="FootnoteText"/>
        <w:rPr>
          <w:rtl/>
        </w:rPr>
      </w:pPr>
      <w:r>
        <w:rPr>
          <w:rStyle w:val="FootnoteReference"/>
          <w:rFonts w:eastAsia="2  Lotus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وسائل الش</w:t>
      </w:r>
      <w:r w:rsidR="00052FB4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052FB4">
        <w:rPr>
          <w:rFonts w:ascii="Noor_Titr" w:hAnsi="Noor_Titr" w:cs="B Badr"/>
          <w:color w:val="000000" w:themeColor="text1"/>
          <w:rtl/>
        </w:rPr>
        <w:t>ج 28</w:t>
      </w:r>
      <w:r>
        <w:rPr>
          <w:rFonts w:ascii="Noor_Titr" w:hAnsi="Noor_Titr" w:cs="B Badr" w:hint="cs"/>
          <w:color w:val="000000" w:themeColor="text1"/>
          <w:rtl/>
        </w:rPr>
        <w:t>، ص: 267</w:t>
      </w:r>
    </w:p>
  </w:footnote>
  <w:footnote w:id="3">
    <w:p w:rsidR="00A753AA" w:rsidRDefault="00A753AA" w:rsidP="00A753AA">
      <w:pPr>
        <w:pStyle w:val="FootnoteText"/>
        <w:rPr>
          <w:rtl/>
        </w:rPr>
      </w:pPr>
      <w:r>
        <w:rPr>
          <w:rStyle w:val="FootnoteReference"/>
          <w:rFonts w:eastAsia="2  Lotus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رجال ال</w:t>
      </w:r>
      <w:r w:rsidR="00052FB4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ش</w:t>
      </w:r>
      <w:r w:rsidR="00052FB4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؛ ص: 493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FB4" w:rsidRDefault="00052F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B403C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D7AFC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403CF">
      <w:rPr>
        <w:rFonts w:ascii="IranNastaliq" w:hAnsi="IranNastaliq" w:cs="IranNastaliq" w:hint="cs"/>
        <w:sz w:val="40"/>
        <w:szCs w:val="40"/>
        <w:rtl/>
        <w:lang w:bidi="fa-IR"/>
      </w:rPr>
      <w:t>3784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FB4" w:rsidRDefault="00052F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52FB4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C7D06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053B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543F0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8112A"/>
    <w:rsid w:val="004B337F"/>
    <w:rsid w:val="004F3596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0BCE"/>
    <w:rsid w:val="006D3A87"/>
    <w:rsid w:val="006F01B4"/>
    <w:rsid w:val="0072383B"/>
    <w:rsid w:val="007255B5"/>
    <w:rsid w:val="00734D59"/>
    <w:rsid w:val="0073609B"/>
    <w:rsid w:val="00742D5C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A8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013AF"/>
    <w:rsid w:val="00913C3B"/>
    <w:rsid w:val="00915509"/>
    <w:rsid w:val="00927388"/>
    <w:rsid w:val="009274FE"/>
    <w:rsid w:val="009401AC"/>
    <w:rsid w:val="0095357D"/>
    <w:rsid w:val="009613AC"/>
    <w:rsid w:val="00961C98"/>
    <w:rsid w:val="00963AA3"/>
    <w:rsid w:val="00980643"/>
    <w:rsid w:val="00992D2C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63ABC"/>
    <w:rsid w:val="00A725C2"/>
    <w:rsid w:val="00A753AA"/>
    <w:rsid w:val="00A769EE"/>
    <w:rsid w:val="00A810A5"/>
    <w:rsid w:val="00A90ACB"/>
    <w:rsid w:val="00A9616A"/>
    <w:rsid w:val="00A96F68"/>
    <w:rsid w:val="00AA2342"/>
    <w:rsid w:val="00AB1CA8"/>
    <w:rsid w:val="00AC6E2F"/>
    <w:rsid w:val="00AD0304"/>
    <w:rsid w:val="00AD27BE"/>
    <w:rsid w:val="00AF0F1A"/>
    <w:rsid w:val="00B06BB8"/>
    <w:rsid w:val="00B15027"/>
    <w:rsid w:val="00B21CF4"/>
    <w:rsid w:val="00B24300"/>
    <w:rsid w:val="00B31426"/>
    <w:rsid w:val="00B37E8B"/>
    <w:rsid w:val="00B403CF"/>
    <w:rsid w:val="00B63F15"/>
    <w:rsid w:val="00B67C08"/>
    <w:rsid w:val="00B7512E"/>
    <w:rsid w:val="00B85A27"/>
    <w:rsid w:val="00BB5F7E"/>
    <w:rsid w:val="00BB6A1C"/>
    <w:rsid w:val="00BC26F6"/>
    <w:rsid w:val="00BD3122"/>
    <w:rsid w:val="00BD40DA"/>
    <w:rsid w:val="00C12468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A0A"/>
    <w:rsid w:val="00D8062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33228"/>
    <w:rsid w:val="00F40284"/>
    <w:rsid w:val="00F67976"/>
    <w:rsid w:val="00F70BE1"/>
    <w:rsid w:val="00FC0862"/>
    <w:rsid w:val="00FC70FB"/>
    <w:rsid w:val="00FD143D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8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D0170-65CE-4B04-BB2D-8CE9A3C6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127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67</cp:revision>
  <dcterms:created xsi:type="dcterms:W3CDTF">2014-11-18T06:47:00Z</dcterms:created>
  <dcterms:modified xsi:type="dcterms:W3CDTF">2015-10-15T00:48:00Z</dcterms:modified>
</cp:coreProperties>
</file>